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0200" w14:textId="67869BB2" w:rsidR="00D77B53" w:rsidRPr="00D77B53" w:rsidRDefault="00D77B53" w:rsidP="00D77B53">
      <w:pPr>
        <w:jc w:val="center"/>
        <w:rPr>
          <w:b/>
        </w:rPr>
      </w:pPr>
      <w:r w:rsidRPr="00D77B53">
        <w:rPr>
          <w:b/>
        </w:rPr>
        <w:t>HARMONOGRAM</w:t>
      </w:r>
    </w:p>
    <w:p w14:paraId="6BA657E3" w14:textId="7A676AA9" w:rsidR="00D77B53" w:rsidRDefault="00781327" w:rsidP="00D77B53">
      <w:pPr>
        <w:jc w:val="center"/>
        <w:rPr>
          <w:b/>
        </w:rPr>
      </w:pPr>
      <w:r>
        <w:rPr>
          <w:b/>
        </w:rPr>
        <w:t>szkolenia</w:t>
      </w:r>
      <w:r w:rsidR="00D77B53" w:rsidRPr="00D77B53">
        <w:rPr>
          <w:b/>
        </w:rPr>
        <w:t xml:space="preserve"> z zakresu decyzji administracyjnej</w:t>
      </w:r>
    </w:p>
    <w:p w14:paraId="256FFCAC" w14:textId="77777777" w:rsidR="00D77B53" w:rsidRPr="00D77B53" w:rsidRDefault="00D77B53" w:rsidP="00D77B53">
      <w:pPr>
        <w:jc w:val="center"/>
        <w:rPr>
          <w:b/>
        </w:rPr>
      </w:pPr>
    </w:p>
    <w:p w14:paraId="56508FB8" w14:textId="77777777" w:rsidR="00D77B53" w:rsidRDefault="00D77B53" w:rsidP="00D77B53">
      <w:pPr>
        <w:pStyle w:val="Akapitzlist"/>
        <w:jc w:val="both"/>
      </w:pPr>
    </w:p>
    <w:p w14:paraId="4DA2CB9F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 xml:space="preserve">Zasady postępowania administracyjnego </w:t>
      </w:r>
      <w:r w:rsidR="00371218">
        <w:t xml:space="preserve">i ich znaczenie </w:t>
      </w:r>
      <w:r>
        <w:t>w praktyce.</w:t>
      </w:r>
    </w:p>
    <w:p w14:paraId="796A7716" w14:textId="77777777" w:rsidR="00371218" w:rsidRDefault="00C41819" w:rsidP="00DE4BE7">
      <w:pPr>
        <w:pStyle w:val="Akapitzlist"/>
        <w:numPr>
          <w:ilvl w:val="0"/>
          <w:numId w:val="1"/>
        </w:numPr>
        <w:jc w:val="both"/>
      </w:pPr>
      <w:r>
        <w:t>Decyzje związane, a decyzje uznaniowe – problemy praktyczne.</w:t>
      </w:r>
    </w:p>
    <w:p w14:paraId="04678F84" w14:textId="77777777" w:rsidR="00371218" w:rsidRDefault="00371218" w:rsidP="00DE4BE7">
      <w:pPr>
        <w:pStyle w:val="Akapitzlist"/>
        <w:numPr>
          <w:ilvl w:val="0"/>
          <w:numId w:val="1"/>
        </w:numPr>
        <w:jc w:val="both"/>
      </w:pPr>
      <w:r>
        <w:t xml:space="preserve">Tryby wszczęcia postępowania administracyjnego oraz możliwość odmowy wszczęcia postępowania administracyjnego. </w:t>
      </w:r>
    </w:p>
    <w:p w14:paraId="33CDC5A1" w14:textId="782382A2" w:rsidR="004D5DFB" w:rsidRDefault="004D5DFB" w:rsidP="00DE4BE7">
      <w:pPr>
        <w:pStyle w:val="Akapitzlist"/>
        <w:numPr>
          <w:ilvl w:val="0"/>
          <w:numId w:val="1"/>
        </w:numPr>
        <w:jc w:val="both"/>
      </w:pPr>
      <w:r>
        <w:t>Problematyka strony postępowania administracyjnego i jej właściwej reprezentacji.</w:t>
      </w:r>
    </w:p>
    <w:p w14:paraId="13F96CA2" w14:textId="77777777" w:rsidR="00371218" w:rsidRDefault="00371218" w:rsidP="00DE4BE7">
      <w:pPr>
        <w:pStyle w:val="Akapitzlist"/>
        <w:numPr>
          <w:ilvl w:val="0"/>
          <w:numId w:val="1"/>
        </w:numPr>
        <w:jc w:val="both"/>
      </w:pPr>
      <w:r>
        <w:t>Właściwe stosowanie trybu wezwania do uzupełnienia braków – art. 64 § 1 K.p.a. i możliwe skutki jego niewłaściwego zastosowania.</w:t>
      </w:r>
    </w:p>
    <w:p w14:paraId="62C946BC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Podstawowe elementy decyzji administracyjnej i jej prawidłowe uzasadnienie.</w:t>
      </w:r>
    </w:p>
    <w:p w14:paraId="5EAB89DD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Najczęstsze problemy z doręczeniem decyzji administracyjnych.</w:t>
      </w:r>
    </w:p>
    <w:p w14:paraId="75D4CEE1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Bezczynność organu, przewlekłe prowadzenie postępowania i konsekwencje prawne dla organu administracji publicznej.</w:t>
      </w:r>
    </w:p>
    <w:p w14:paraId="001187A7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Uzyskanie stanowiska innego organu przed wydaniem decyzji administracyjnej.</w:t>
      </w:r>
    </w:p>
    <w:p w14:paraId="3B8DB329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Śmierć strony postępowania i jej wpływ na możliwość wydania decyzji.</w:t>
      </w:r>
    </w:p>
    <w:p w14:paraId="461F0D27" w14:textId="6BED6646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Kompetencje i obowiązki organu I instancji po wniesieniu odwołania od decyzji administracyjnej</w:t>
      </w:r>
      <w:r w:rsidR="00D77B53">
        <w:t>, a w tym autokontrola decyzji administracyjnej</w:t>
      </w:r>
      <w:r>
        <w:t>.</w:t>
      </w:r>
    </w:p>
    <w:p w14:paraId="30486FCE" w14:textId="77777777" w:rsidR="00371218" w:rsidRDefault="00371218" w:rsidP="00DE4BE7">
      <w:pPr>
        <w:pStyle w:val="Akapitzlist"/>
        <w:numPr>
          <w:ilvl w:val="0"/>
          <w:numId w:val="1"/>
        </w:numPr>
        <w:jc w:val="both"/>
      </w:pPr>
      <w:r>
        <w:t xml:space="preserve">Najczęstsze uchybienia skutkujące uwzględnieniem </w:t>
      </w:r>
      <w:proofErr w:type="spellStart"/>
      <w:r>
        <w:t>odwołań</w:t>
      </w:r>
      <w:proofErr w:type="spellEnd"/>
      <w:r>
        <w:t xml:space="preserve"> od decyzji administracyjnych.</w:t>
      </w:r>
    </w:p>
    <w:p w14:paraId="65F5F51F" w14:textId="523C3689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Ponowne rozpatrzenie sprawy po uchyleniu decyzji administra</w:t>
      </w:r>
      <w:r w:rsidR="00F74142">
        <w:t>cyjnej przez organ II instancji oraz sąd administracyjny.</w:t>
      </w:r>
    </w:p>
    <w:p w14:paraId="27C98473" w14:textId="77777777" w:rsidR="00C41819" w:rsidRDefault="00C41819" w:rsidP="00DE4BE7">
      <w:pPr>
        <w:pStyle w:val="Akapitzlist"/>
        <w:numPr>
          <w:ilvl w:val="0"/>
          <w:numId w:val="1"/>
        </w:numPr>
        <w:jc w:val="both"/>
      </w:pPr>
      <w:r>
        <w:t>Możliwości (sposoby) kwestionowania decyzji organów II instancji przez organy I instancji.</w:t>
      </w:r>
    </w:p>
    <w:p w14:paraId="0D7985CA" w14:textId="64C66577" w:rsidR="00D77B53" w:rsidRDefault="00D77B53" w:rsidP="00DE4BE7">
      <w:pPr>
        <w:pStyle w:val="Akapitzlist"/>
        <w:numPr>
          <w:ilvl w:val="0"/>
          <w:numId w:val="1"/>
        </w:numPr>
        <w:jc w:val="both"/>
      </w:pPr>
      <w:r>
        <w:t>Ustne ogłoszenie decyzji.</w:t>
      </w:r>
    </w:p>
    <w:p w14:paraId="0A0E61B0" w14:textId="7B482D60" w:rsidR="00D77B53" w:rsidRDefault="00D77B53" w:rsidP="00DE4BE7">
      <w:pPr>
        <w:pStyle w:val="Akapitzlist"/>
        <w:numPr>
          <w:ilvl w:val="0"/>
          <w:numId w:val="1"/>
        </w:numPr>
        <w:jc w:val="both"/>
      </w:pPr>
      <w:r>
        <w:t>Klauzula ostateczności decyzji.</w:t>
      </w:r>
    </w:p>
    <w:p w14:paraId="2A2F7FD7" w14:textId="1B01A6A7" w:rsidR="00D77B53" w:rsidRDefault="00D77B53" w:rsidP="00DE4BE7">
      <w:pPr>
        <w:pStyle w:val="Akapitzlist"/>
        <w:numPr>
          <w:ilvl w:val="0"/>
          <w:numId w:val="1"/>
        </w:numPr>
        <w:jc w:val="both"/>
      </w:pPr>
      <w:r>
        <w:t>Skutek wydania decyzji administracyjnej przez pracownika nieposiadającego stosownego upoważnienia organu.</w:t>
      </w:r>
    </w:p>
    <w:p w14:paraId="78EAEF9D" w14:textId="77777777" w:rsidR="00C41819" w:rsidRDefault="00371218" w:rsidP="00DE4BE7">
      <w:pPr>
        <w:pStyle w:val="Akapitzlist"/>
        <w:numPr>
          <w:ilvl w:val="0"/>
          <w:numId w:val="1"/>
        </w:numPr>
        <w:jc w:val="both"/>
      </w:pPr>
      <w:r>
        <w:t>Zmiana lub uchylenie decyzji administracyjnej na podstawie art. 154 i 155 K.p.a.</w:t>
      </w:r>
    </w:p>
    <w:p w14:paraId="67F750F2" w14:textId="77777777" w:rsidR="00371218" w:rsidRDefault="00371218" w:rsidP="00DE4BE7">
      <w:pPr>
        <w:pStyle w:val="Akapitzlist"/>
        <w:numPr>
          <w:ilvl w:val="0"/>
          <w:numId w:val="1"/>
        </w:numPr>
        <w:jc w:val="both"/>
      </w:pPr>
      <w:r>
        <w:t>Wznowienie postępowania administracyjnego.</w:t>
      </w:r>
    </w:p>
    <w:p w14:paraId="15E937F2" w14:textId="77777777" w:rsidR="00371218" w:rsidRDefault="00371218" w:rsidP="00DE4BE7">
      <w:pPr>
        <w:pStyle w:val="Akapitzlist"/>
        <w:numPr>
          <w:ilvl w:val="0"/>
          <w:numId w:val="1"/>
        </w:numPr>
        <w:jc w:val="both"/>
      </w:pPr>
      <w:r>
        <w:t>Stwierdzenie nieważności decyzji administracyjnej.</w:t>
      </w:r>
    </w:p>
    <w:p w14:paraId="2F140533" w14:textId="77777777" w:rsidR="00371218" w:rsidRDefault="00371218" w:rsidP="00DE4BE7">
      <w:pPr>
        <w:pStyle w:val="Akapitzlist"/>
        <w:numPr>
          <w:ilvl w:val="0"/>
          <w:numId w:val="1"/>
        </w:numPr>
        <w:jc w:val="both"/>
      </w:pPr>
      <w:r>
        <w:t xml:space="preserve">Stwierdzenie wygaśnięcia decyzji administracyjnej. </w:t>
      </w:r>
    </w:p>
    <w:p w14:paraId="2E18378A" w14:textId="77777777" w:rsidR="00371218" w:rsidRDefault="00371218" w:rsidP="00371218">
      <w:pPr>
        <w:ind w:left="360"/>
      </w:pPr>
    </w:p>
    <w:p w14:paraId="3E372948" w14:textId="06D37268" w:rsidR="00D77B53" w:rsidRPr="005664F2" w:rsidRDefault="005664F2" w:rsidP="00371218">
      <w:pPr>
        <w:ind w:left="360"/>
        <w:rPr>
          <w:b/>
        </w:rPr>
      </w:pPr>
      <w:r w:rsidRPr="005664F2">
        <w:rPr>
          <w:b/>
        </w:rPr>
        <w:t>Prowadzący:</w:t>
      </w:r>
    </w:p>
    <w:p w14:paraId="1BE850B9" w14:textId="0022A6BF" w:rsidR="005664F2" w:rsidRDefault="005664F2" w:rsidP="005F1977">
      <w:pPr>
        <w:ind w:left="360"/>
      </w:pPr>
      <w:r>
        <w:t xml:space="preserve">Radca prawny Sebastian Wojciechowski, </w:t>
      </w:r>
      <w:r w:rsidR="005F1977">
        <w:t xml:space="preserve"> </w:t>
      </w:r>
      <w:bookmarkStart w:id="0" w:name="_GoBack"/>
      <w:bookmarkEnd w:id="0"/>
      <w:r w:rsidR="005F1977">
        <w:t xml:space="preserve">Radca prawny </w:t>
      </w:r>
      <w:proofErr w:type="spellStart"/>
      <w:r>
        <w:t>Dennis</w:t>
      </w:r>
      <w:proofErr w:type="spellEnd"/>
      <w:r>
        <w:t xml:space="preserve"> Warcholak.</w:t>
      </w:r>
    </w:p>
    <w:p w14:paraId="1F83C551" w14:textId="77777777" w:rsidR="00D77B53" w:rsidRDefault="00D77B53" w:rsidP="00371218">
      <w:pPr>
        <w:ind w:left="360"/>
      </w:pPr>
    </w:p>
    <w:sectPr w:rsidR="00D77B53" w:rsidSect="000D6A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62AD"/>
    <w:multiLevelType w:val="hybridMultilevel"/>
    <w:tmpl w:val="CC52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19"/>
    <w:rsid w:val="000D6A07"/>
    <w:rsid w:val="00371218"/>
    <w:rsid w:val="004D5DFB"/>
    <w:rsid w:val="005664F2"/>
    <w:rsid w:val="005F1977"/>
    <w:rsid w:val="00781327"/>
    <w:rsid w:val="00C41819"/>
    <w:rsid w:val="00D77B53"/>
    <w:rsid w:val="00DE4BE7"/>
    <w:rsid w:val="00E86733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DB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Warcholak</dc:creator>
  <cp:lastModifiedBy>user</cp:lastModifiedBy>
  <cp:revision>5</cp:revision>
  <dcterms:created xsi:type="dcterms:W3CDTF">2019-05-23T06:42:00Z</dcterms:created>
  <dcterms:modified xsi:type="dcterms:W3CDTF">2021-02-17T06:50:00Z</dcterms:modified>
</cp:coreProperties>
</file>